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36147" w14:textId="785383A5" w:rsidR="002724E6" w:rsidRPr="00C2348E" w:rsidRDefault="002724E6" w:rsidP="00316CE7">
      <w:pPr>
        <w:jc w:val="center"/>
        <w:rPr>
          <w:b/>
          <w:bCs/>
          <w:sz w:val="28"/>
          <w:szCs w:val="28"/>
        </w:rPr>
      </w:pPr>
      <w:r w:rsidRPr="00C2348E">
        <w:rPr>
          <w:b/>
          <w:bCs/>
          <w:sz w:val="28"/>
          <w:szCs w:val="28"/>
        </w:rPr>
        <w:t>Projektas „Atviros ekosistemos atsiskaitymams negrynaisiais pinigais bendrojo ugdymo įstaigų valgyklose kūrimas“</w:t>
      </w:r>
    </w:p>
    <w:p w14:paraId="516F4125" w14:textId="3ECDCD8E" w:rsidR="002724E6" w:rsidRPr="00244EB9" w:rsidRDefault="002724E6" w:rsidP="00316CE7">
      <w:pPr>
        <w:jc w:val="center"/>
        <w:rPr>
          <w:noProof/>
        </w:rPr>
      </w:pPr>
      <w:r w:rsidRPr="00244EB9">
        <w:rPr>
          <w:noProof/>
          <w:lang w:eastAsia="lt-LT"/>
        </w:rPr>
        <w:drawing>
          <wp:inline distT="0" distB="0" distL="0" distR="0" wp14:anchorId="662ECE5E" wp14:editId="3752F2D4">
            <wp:extent cx="4152900" cy="10224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6085" cy="1045383"/>
                    </a:xfrm>
                    <a:prstGeom prst="rect">
                      <a:avLst/>
                    </a:prstGeom>
                    <a:noFill/>
                  </pic:spPr>
                </pic:pic>
              </a:graphicData>
            </a:graphic>
          </wp:inline>
        </w:drawing>
      </w:r>
    </w:p>
    <w:p w14:paraId="23D3C9D9" w14:textId="03A97D5B" w:rsidR="002724E6" w:rsidRPr="00244EB9" w:rsidRDefault="002724E6" w:rsidP="00DA25F5">
      <w:pPr>
        <w:spacing w:after="0"/>
        <w:jc w:val="both"/>
        <w:rPr>
          <w:iCs/>
        </w:rPr>
      </w:pPr>
      <w:r w:rsidRPr="00244EB9">
        <w:rPr>
          <w:b/>
          <w:bCs/>
          <w:iCs/>
        </w:rPr>
        <w:t>Projekto tikslas</w:t>
      </w:r>
      <w:r w:rsidRPr="00244EB9">
        <w:rPr>
          <w:iCs/>
        </w:rPr>
        <w:t xml:space="preserve"> </w:t>
      </w:r>
      <w:r w:rsidR="004E47BD">
        <w:rPr>
          <w:iCs/>
        </w:rPr>
        <w:t>–</w:t>
      </w:r>
      <w:r w:rsidRPr="00244EB9">
        <w:rPr>
          <w:iCs/>
        </w:rPr>
        <w:t xml:space="preserve"> formuoti ir ugdyti praktinį </w:t>
      </w:r>
      <w:r w:rsidRPr="00244EB9">
        <w:t>būsimų mokesčių mokėtojų</w:t>
      </w:r>
      <w:r w:rsidRPr="00244EB9">
        <w:rPr>
          <w:iCs/>
        </w:rPr>
        <w:t xml:space="preserve"> finansinį ir skaitmeninį raštingumą bei sąmoningumą, pa</w:t>
      </w:r>
      <w:r w:rsidRPr="00244EB9">
        <w:t xml:space="preserve">skatinti atsiskaitymus negrynaisiais pinigais bendrojo ugdymo įstaigose </w:t>
      </w:r>
      <w:r w:rsidRPr="00244EB9">
        <w:rPr>
          <w:iCs/>
        </w:rPr>
        <w:t xml:space="preserve">diegiant ir atnaujinant tam pritaikytą infrastruktūrą. </w:t>
      </w:r>
    </w:p>
    <w:p w14:paraId="747C4412" w14:textId="25996680" w:rsidR="002724E6" w:rsidRPr="00244EB9" w:rsidRDefault="002724E6" w:rsidP="00DA25F5">
      <w:pPr>
        <w:jc w:val="both"/>
        <w:rPr>
          <w:iCs/>
        </w:rPr>
      </w:pPr>
      <w:r w:rsidRPr="00244EB9">
        <w:t xml:space="preserve">Projektu tiesiogiai prisidedama prie mokinių finansinės elgsenos kaitos, susijusios su praktiniais finansinio raštingumo įgūdžiais. Mokiniai praktiškai susipažins su finansinėmis paslaugomis, plėsis skaitmeninių paslaugų vartojimas bendrojo ugdymo įstaigose, kas yra ypač aktualu kuriant šiuolaikišką bei modernią mokyklą. </w:t>
      </w:r>
      <w:r w:rsidRPr="00244EB9">
        <w:rPr>
          <w:iCs/>
        </w:rPr>
        <w:t xml:space="preserve">Mokiniai ugdys įgūdžius </w:t>
      </w:r>
      <w:r w:rsidRPr="00244EB9">
        <w:t>saugoti savo turimas atsiskaitymo priemones, neatskleisti slaptažodžių, stebėti savo išlaidas, suprasti, kas yra finansinis sukčiavimas</w:t>
      </w:r>
      <w:r w:rsidR="00DA25F5" w:rsidRPr="00244EB9">
        <w:t>,</w:t>
      </w:r>
      <w:r w:rsidRPr="00244EB9">
        <w:t xml:space="preserve"> ir mokysis jį atpažinti. Tokiu būdu ilgainiui bus kuriama skaitmeninėms ir ypač finansinėms technologijoms imli rinka, kuri prisidės prie geresnio Lietuvos kaip investicijų krypties vertinimo, o tai, savo ruožtu, padės pritraukti daugiau privačių lėšų strateginėms sritims finansuoti.</w:t>
      </w:r>
      <w:r w:rsidRPr="00244EB9">
        <w:rPr>
          <w:iCs/>
        </w:rPr>
        <w:t xml:space="preserve"> </w:t>
      </w:r>
    </w:p>
    <w:p w14:paraId="7310DB54" w14:textId="1CCF0C0C" w:rsidR="002724E6" w:rsidRPr="00244EB9" w:rsidRDefault="002724E6" w:rsidP="00DA25F5">
      <w:pPr>
        <w:spacing w:after="0" w:line="240" w:lineRule="auto"/>
        <w:jc w:val="both"/>
        <w:rPr>
          <w:b/>
          <w:bCs/>
        </w:rPr>
      </w:pPr>
      <w:r w:rsidRPr="00244EB9">
        <w:rPr>
          <w:b/>
          <w:bCs/>
        </w:rPr>
        <w:t xml:space="preserve">Projekto </w:t>
      </w:r>
      <w:r w:rsidR="00E847D4" w:rsidRPr="00244EB9">
        <w:rPr>
          <w:b/>
          <w:bCs/>
        </w:rPr>
        <w:t xml:space="preserve">metu remiamos </w:t>
      </w:r>
      <w:r w:rsidRPr="00244EB9">
        <w:rPr>
          <w:b/>
          <w:bCs/>
        </w:rPr>
        <w:t>veiklos</w:t>
      </w:r>
      <w:r w:rsidR="00DA25F5" w:rsidRPr="00244EB9">
        <w:rPr>
          <w:b/>
          <w:bCs/>
        </w:rPr>
        <w:t xml:space="preserve"> ir projekto apimtis</w:t>
      </w:r>
      <w:r w:rsidRPr="00244EB9">
        <w:rPr>
          <w:b/>
          <w:bCs/>
        </w:rPr>
        <w:t>:</w:t>
      </w:r>
    </w:p>
    <w:p w14:paraId="0A49053B" w14:textId="4A5F1F25" w:rsidR="002724E6" w:rsidRPr="00244EB9" w:rsidRDefault="002724E6" w:rsidP="002724E6">
      <w:pPr>
        <w:spacing w:after="0" w:line="240" w:lineRule="auto"/>
        <w:jc w:val="both"/>
      </w:pPr>
      <w:r w:rsidRPr="00244EB9">
        <w:rPr>
          <w:color w:val="000000"/>
          <w:lang w:eastAsia="lt-LT"/>
          <w14:ligatures w14:val="none"/>
        </w:rPr>
        <w:t>1. Atsiskaitymo negrynaisiais pinigais infrastruktūros diegimas ir (arba) atnaujinimas bendrojo ugdymo įstaigose</w:t>
      </w:r>
      <w:r w:rsidR="00DA25F5" w:rsidRPr="00244EB9">
        <w:rPr>
          <w:color w:val="000000"/>
          <w:lang w:eastAsia="lt-LT"/>
          <w14:ligatures w14:val="none"/>
        </w:rPr>
        <w:t xml:space="preserve">: </w:t>
      </w:r>
      <w:r w:rsidR="00DA25F5" w:rsidRPr="00244EB9">
        <w:t>projekto lėšomis mažiausiai 242 bendrojo ugdymo įstaigos savo valgyklose įsidiegs / atsinaujins kompiuterinę kasos įrangą, savitarnos terminalus.</w:t>
      </w:r>
    </w:p>
    <w:p w14:paraId="6D7E8AFF" w14:textId="77777777" w:rsidR="00DA25F5" w:rsidRPr="00244EB9" w:rsidRDefault="00DA25F5" w:rsidP="002724E6">
      <w:pPr>
        <w:spacing w:after="0" w:line="240" w:lineRule="auto"/>
        <w:jc w:val="both"/>
      </w:pPr>
    </w:p>
    <w:p w14:paraId="32ACC89A" w14:textId="6C961B27" w:rsidR="002724E6" w:rsidRPr="00244EB9" w:rsidRDefault="002724E6" w:rsidP="002724E6">
      <w:pPr>
        <w:spacing w:after="0" w:line="240" w:lineRule="auto"/>
        <w:jc w:val="both"/>
        <w:rPr>
          <w:color w:val="000000"/>
          <w:lang w:eastAsia="lt-LT"/>
          <w14:ligatures w14:val="none"/>
        </w:rPr>
      </w:pPr>
      <w:r w:rsidRPr="00244EB9">
        <w:rPr>
          <w:color w:val="000000"/>
          <w:lang w:eastAsia="lt-LT"/>
          <w14:ligatures w14:val="none"/>
        </w:rPr>
        <w:t>2. Mokinių aprūpinimas elektroniniais mokinio pažymėjimais su mokėjimo funkcija ir</w:t>
      </w:r>
      <w:r w:rsidR="00DA25F5" w:rsidRPr="00244EB9">
        <w:rPr>
          <w:color w:val="000000"/>
          <w:lang w:eastAsia="lt-LT"/>
          <w14:ligatures w14:val="none"/>
        </w:rPr>
        <w:t xml:space="preserve"> kitais </w:t>
      </w:r>
      <w:r w:rsidRPr="00244EB9">
        <w:rPr>
          <w:color w:val="000000"/>
          <w:lang w:eastAsia="lt-LT"/>
          <w14:ligatures w14:val="none"/>
        </w:rPr>
        <w:t xml:space="preserve"> papildomais funkcionalumais</w:t>
      </w:r>
      <w:r w:rsidR="00DA25F5" w:rsidRPr="00244EB9">
        <w:rPr>
          <w:color w:val="000000"/>
          <w:lang w:eastAsia="lt-LT"/>
          <w14:ligatures w14:val="none"/>
        </w:rPr>
        <w:t xml:space="preserve">: per projekto finansavimo laikotarpį </w:t>
      </w:r>
      <w:r w:rsidR="00DA25F5" w:rsidRPr="00244EB9">
        <w:t xml:space="preserve">elektroniniai mokinio pažymėjimai su mokėjimo funkcija bus išduoti ir / arba pakeisti 90 000 mokinių. Pagal poreikį </w:t>
      </w:r>
      <w:r w:rsidR="00244EB9" w:rsidRPr="00244EB9">
        <w:t xml:space="preserve">elektroniniuose mokinio pažymėjimuose bus sudiegti </w:t>
      </w:r>
      <w:r w:rsidR="00DA25F5" w:rsidRPr="00244EB9">
        <w:t xml:space="preserve"> papildom</w:t>
      </w:r>
      <w:r w:rsidR="00244EB9" w:rsidRPr="00244EB9">
        <w:t>i</w:t>
      </w:r>
      <w:r w:rsidR="00DA25F5" w:rsidRPr="00244EB9">
        <w:t xml:space="preserve"> programini</w:t>
      </w:r>
      <w:r w:rsidR="00244EB9" w:rsidRPr="00244EB9">
        <w:t>ai</w:t>
      </w:r>
      <w:r w:rsidR="00DA25F5" w:rsidRPr="00244EB9">
        <w:t xml:space="preserve"> funkcionalum</w:t>
      </w:r>
      <w:r w:rsidR="00244EB9" w:rsidRPr="00244EB9">
        <w:t>ai – neformaliojo vaikų švietimo apskaita, nemokamas maitinimas, transportas, praėjimo kontrolė, bibliotekos skaitytojo kortelė ir pan.</w:t>
      </w:r>
    </w:p>
    <w:p w14:paraId="7D478FC0" w14:textId="08F91207" w:rsidR="002724E6" w:rsidRPr="00244EB9" w:rsidRDefault="002724E6" w:rsidP="002724E6">
      <w:pPr>
        <w:spacing w:after="0"/>
        <w:jc w:val="both"/>
      </w:pPr>
    </w:p>
    <w:p w14:paraId="13F093A7" w14:textId="27D75002" w:rsidR="00316CE7" w:rsidRPr="00244EB9" w:rsidRDefault="00E847D4" w:rsidP="00DA25F5">
      <w:pPr>
        <w:pStyle w:val="prastasiniatinklio"/>
        <w:shd w:val="clear" w:color="auto" w:fill="FFFFFF"/>
        <w:spacing w:before="0" w:beforeAutospacing="0" w:after="0" w:afterAutospacing="0"/>
        <w:jc w:val="both"/>
        <w:rPr>
          <w:b/>
          <w:bCs/>
          <w:shd w:val="clear" w:color="auto" w:fill="FFFFFF"/>
        </w:rPr>
      </w:pPr>
      <w:r w:rsidRPr="00244EB9">
        <w:rPr>
          <w:b/>
          <w:bCs/>
          <w:shd w:val="clear" w:color="auto" w:fill="FFFFFF"/>
        </w:rPr>
        <w:t xml:space="preserve">Projekto </w:t>
      </w:r>
      <w:r w:rsidR="00316CE7" w:rsidRPr="00244EB9">
        <w:rPr>
          <w:b/>
          <w:bCs/>
          <w:shd w:val="clear" w:color="auto" w:fill="FFFFFF"/>
        </w:rPr>
        <w:t>vykdytojas</w:t>
      </w:r>
      <w:r w:rsidRPr="00244EB9">
        <w:rPr>
          <w:b/>
          <w:bCs/>
          <w:shd w:val="clear" w:color="auto" w:fill="FFFFFF"/>
        </w:rPr>
        <w:t xml:space="preserve"> </w:t>
      </w:r>
      <w:r w:rsidRPr="00244EB9">
        <w:rPr>
          <w:shd w:val="clear" w:color="auto" w:fill="FFFFFF"/>
        </w:rPr>
        <w:t xml:space="preserve">– </w:t>
      </w:r>
      <w:r w:rsidRPr="00C2348E">
        <w:rPr>
          <w:shd w:val="clear" w:color="auto" w:fill="FFFFFF"/>
        </w:rPr>
        <w:t>Europos socialinio fondo agentūra</w:t>
      </w:r>
      <w:r w:rsidR="00C2348E">
        <w:rPr>
          <w:shd w:val="clear" w:color="auto" w:fill="FFFFFF"/>
        </w:rPr>
        <w:t xml:space="preserve">. </w:t>
      </w:r>
    </w:p>
    <w:p w14:paraId="01929847" w14:textId="77777777" w:rsidR="00316CE7" w:rsidRPr="00244EB9" w:rsidRDefault="00316CE7" w:rsidP="00DA25F5">
      <w:pPr>
        <w:pStyle w:val="prastasiniatinklio"/>
        <w:shd w:val="clear" w:color="auto" w:fill="FFFFFF"/>
        <w:spacing w:before="0" w:beforeAutospacing="0" w:after="0" w:afterAutospacing="0"/>
        <w:jc w:val="both"/>
        <w:rPr>
          <w:b/>
          <w:bCs/>
          <w:shd w:val="clear" w:color="auto" w:fill="FFFFFF"/>
        </w:rPr>
      </w:pPr>
    </w:p>
    <w:p w14:paraId="10ABAB64" w14:textId="0F5D18F1" w:rsidR="002724E6" w:rsidRPr="00244EB9" w:rsidRDefault="00E847D4" w:rsidP="00DA25F5">
      <w:pPr>
        <w:pStyle w:val="prastasiniatinklio"/>
        <w:shd w:val="clear" w:color="auto" w:fill="FFFFFF"/>
        <w:spacing w:before="0" w:beforeAutospacing="0" w:after="0" w:afterAutospacing="0"/>
        <w:jc w:val="both"/>
        <w:rPr>
          <w:shd w:val="clear" w:color="auto" w:fill="FFFFFF"/>
        </w:rPr>
      </w:pPr>
      <w:r w:rsidRPr="00244EB9">
        <w:rPr>
          <w:b/>
          <w:bCs/>
          <w:shd w:val="clear" w:color="auto" w:fill="FFFFFF"/>
        </w:rPr>
        <w:t>Projekto partneriai</w:t>
      </w:r>
      <w:r w:rsidRPr="00244EB9">
        <w:rPr>
          <w:shd w:val="clear" w:color="auto" w:fill="FFFFFF"/>
        </w:rPr>
        <w:t xml:space="preserve">: </w:t>
      </w:r>
      <w:r w:rsidR="00316CE7" w:rsidRPr="00244EB9">
        <w:rPr>
          <w:iCs/>
        </w:rPr>
        <w:t>savivaldybės, Lietuvos Respublikos švietimo, mokslo ir sporto ministerija, valstybinės ir savivaldybės, kaip jos apibrėžtos Švietimo įstatyme, bendrojo ugdymo mokyklos su skyriais.</w:t>
      </w:r>
      <w:r w:rsidRPr="00244EB9">
        <w:rPr>
          <w:shd w:val="clear" w:color="auto" w:fill="FFFFFF"/>
        </w:rPr>
        <w:t xml:space="preserve"> </w:t>
      </w:r>
    </w:p>
    <w:p w14:paraId="4E41C08F" w14:textId="77777777" w:rsidR="00E847D4" w:rsidRPr="00244EB9" w:rsidRDefault="00E847D4" w:rsidP="00E847D4">
      <w:pPr>
        <w:pStyle w:val="prastasiniatinklio"/>
        <w:shd w:val="clear" w:color="auto" w:fill="FFFFFF"/>
        <w:spacing w:before="0" w:beforeAutospacing="0" w:after="0" w:afterAutospacing="0"/>
        <w:jc w:val="both"/>
        <w:rPr>
          <w:shd w:val="clear" w:color="auto" w:fill="FFFFFF"/>
        </w:rPr>
      </w:pPr>
    </w:p>
    <w:p w14:paraId="44149914" w14:textId="6862C9BA" w:rsidR="00E847D4" w:rsidRPr="00244EB9" w:rsidRDefault="00E847D4" w:rsidP="00DA25F5">
      <w:pPr>
        <w:pStyle w:val="prastasiniatinklio"/>
        <w:shd w:val="clear" w:color="auto" w:fill="FFFFFF"/>
        <w:spacing w:before="0" w:beforeAutospacing="0" w:after="0" w:afterAutospacing="0"/>
        <w:jc w:val="both"/>
        <w:rPr>
          <w:shd w:val="clear" w:color="auto" w:fill="FFFFFF"/>
        </w:rPr>
      </w:pPr>
      <w:r w:rsidRPr="00244EB9">
        <w:rPr>
          <w:b/>
          <w:bCs/>
          <w:iCs/>
        </w:rPr>
        <w:t>Projekto tikslinė grupė</w:t>
      </w:r>
      <w:r w:rsidRPr="00244EB9">
        <w:rPr>
          <w:iCs/>
        </w:rPr>
        <w:t>: bendrojo ugdymo mokyklos, bendrojo ugdymo mokyklų mokiniai, savivaldybės, Švietimo, mokslo ir sporto ministerija</w:t>
      </w:r>
      <w:r w:rsidR="00244EB9" w:rsidRPr="00244EB9">
        <w:rPr>
          <w:iCs/>
        </w:rPr>
        <w:t>.</w:t>
      </w:r>
    </w:p>
    <w:p w14:paraId="2A071DCD" w14:textId="77777777" w:rsidR="00E847D4" w:rsidRPr="00244EB9" w:rsidRDefault="00E847D4" w:rsidP="00E847D4">
      <w:pPr>
        <w:pStyle w:val="prastasiniatinklio"/>
        <w:shd w:val="clear" w:color="auto" w:fill="FFFFFF"/>
        <w:spacing w:before="0" w:beforeAutospacing="0" w:after="0" w:afterAutospacing="0"/>
        <w:jc w:val="both"/>
        <w:rPr>
          <w:shd w:val="clear" w:color="auto" w:fill="FFFFFF"/>
        </w:rPr>
      </w:pPr>
    </w:p>
    <w:p w14:paraId="11C57C3D" w14:textId="77777777" w:rsidR="00E847D4" w:rsidRPr="00244EB9" w:rsidRDefault="002724E6" w:rsidP="00DA25F5">
      <w:pPr>
        <w:spacing w:after="0"/>
        <w:jc w:val="both"/>
      </w:pPr>
      <w:r w:rsidRPr="00244EB9">
        <w:rPr>
          <w:b/>
          <w:bCs/>
        </w:rPr>
        <w:t>Projekto trukmė</w:t>
      </w:r>
      <w:r w:rsidRPr="00244EB9">
        <w:t xml:space="preserve"> – 2023 m. balandžio 27 d. – 2024 m. rugsėjo 30 d.</w:t>
      </w:r>
      <w:r w:rsidR="00E847D4" w:rsidRPr="00244EB9">
        <w:t xml:space="preserve"> </w:t>
      </w:r>
    </w:p>
    <w:p w14:paraId="5EDF245F" w14:textId="4E132839" w:rsidR="002724E6" w:rsidRPr="00244EB9" w:rsidRDefault="00244EB9" w:rsidP="002724E6">
      <w:pPr>
        <w:spacing w:after="0"/>
        <w:jc w:val="both"/>
      </w:pPr>
      <w:r w:rsidRPr="00244EB9">
        <w:rPr>
          <w:b/>
          <w:bCs/>
        </w:rPr>
        <w:t>Projektui s</w:t>
      </w:r>
      <w:r w:rsidR="00E847D4" w:rsidRPr="00244EB9">
        <w:rPr>
          <w:b/>
          <w:bCs/>
        </w:rPr>
        <w:t xml:space="preserve">kiriama </w:t>
      </w:r>
      <w:r w:rsidR="002724E6" w:rsidRPr="00244EB9">
        <w:rPr>
          <w:b/>
          <w:bCs/>
        </w:rPr>
        <w:t>bendra</w:t>
      </w:r>
      <w:r w:rsidRPr="00244EB9">
        <w:rPr>
          <w:b/>
          <w:bCs/>
        </w:rPr>
        <w:t xml:space="preserve"> </w:t>
      </w:r>
      <w:r w:rsidR="002724E6" w:rsidRPr="00244EB9">
        <w:rPr>
          <w:b/>
          <w:bCs/>
        </w:rPr>
        <w:t>finansavimo suma</w:t>
      </w:r>
      <w:r w:rsidR="002724E6" w:rsidRPr="00244EB9">
        <w:t xml:space="preserve"> – 2</w:t>
      </w:r>
      <w:r w:rsidR="00316CE7" w:rsidRPr="00244EB9">
        <w:t> </w:t>
      </w:r>
      <w:r w:rsidR="002724E6" w:rsidRPr="00244EB9">
        <w:t>607</w:t>
      </w:r>
      <w:r w:rsidR="00316CE7" w:rsidRPr="00244EB9">
        <w:t xml:space="preserve"> </w:t>
      </w:r>
      <w:r w:rsidR="002724E6" w:rsidRPr="00244EB9">
        <w:t>492,12 Eur</w:t>
      </w:r>
      <w:r w:rsidR="00C2348E">
        <w:t>.</w:t>
      </w:r>
    </w:p>
    <w:p w14:paraId="04FB922E" w14:textId="6FE898E5" w:rsidR="00DD0CD8" w:rsidRPr="00244EB9" w:rsidRDefault="00DD0CD8" w:rsidP="00DA25F5">
      <w:pPr>
        <w:spacing w:after="0"/>
        <w:jc w:val="both"/>
        <w:rPr>
          <w:b/>
          <w:bCs/>
        </w:rPr>
      </w:pPr>
      <w:r w:rsidRPr="00244EB9">
        <w:rPr>
          <w:b/>
          <w:bCs/>
        </w:rPr>
        <w:t>Projektas finansuojamas Ekonomikos gaivinimo ir atsparumo didinimo priemonės lėšomis.</w:t>
      </w:r>
      <w:r w:rsidR="00316CE7" w:rsidRPr="00244EB9">
        <w:rPr>
          <w:b/>
          <w:bCs/>
        </w:rPr>
        <w:t xml:space="preserve"> </w:t>
      </w:r>
    </w:p>
    <w:p w14:paraId="3726237B" w14:textId="77777777" w:rsidR="00DA25F5" w:rsidRPr="00244EB9" w:rsidRDefault="00DA25F5" w:rsidP="00244EB9">
      <w:pPr>
        <w:spacing w:after="0"/>
        <w:jc w:val="both"/>
        <w:rPr>
          <w:b/>
          <w:bCs/>
        </w:rPr>
      </w:pPr>
    </w:p>
    <w:p w14:paraId="6CA325C4" w14:textId="5A42EC20" w:rsidR="00244EB9" w:rsidRDefault="00244EB9" w:rsidP="00FE4C69">
      <w:pPr>
        <w:spacing w:after="0"/>
        <w:rPr>
          <w:sz w:val="20"/>
          <w:szCs w:val="20"/>
        </w:rPr>
      </w:pPr>
      <w:r w:rsidRPr="00244EB9">
        <w:t>Daugiau apie projektą</w:t>
      </w:r>
      <w:r>
        <w:t xml:space="preserve">: </w:t>
      </w:r>
      <w:hyperlink r:id="rId8" w:history="1">
        <w:r w:rsidRPr="00FE4C69">
          <w:rPr>
            <w:rStyle w:val="Hipersaitas"/>
            <w:sz w:val="20"/>
            <w:szCs w:val="20"/>
          </w:rPr>
          <w:t>https://www.esf.lt/veiklos-sritys/atsiskaitymas-negrynaisiais-mokyklu-valgyklose/1034</w:t>
        </w:r>
      </w:hyperlink>
    </w:p>
    <w:p w14:paraId="1FE875E0" w14:textId="77777777" w:rsidR="00FE4C69" w:rsidRPr="00FE4C69" w:rsidRDefault="00FE4C69" w:rsidP="00FE4C69">
      <w:pPr>
        <w:spacing w:after="0"/>
        <w:rPr>
          <w:sz w:val="20"/>
          <w:szCs w:val="20"/>
        </w:rPr>
      </w:pPr>
    </w:p>
    <w:p w14:paraId="7E59DEDA" w14:textId="77777777" w:rsidR="00244EB9" w:rsidRDefault="00244EB9" w:rsidP="00244EB9">
      <w:pPr>
        <w:spacing w:after="0"/>
        <w:jc w:val="both"/>
      </w:pPr>
    </w:p>
    <w:p w14:paraId="3159A582" w14:textId="525027FF" w:rsidR="00244EB9" w:rsidRPr="00BD245A" w:rsidRDefault="00FE4C69" w:rsidP="00244EB9">
      <w:pPr>
        <w:spacing w:after="0"/>
        <w:jc w:val="both"/>
        <w:rPr>
          <w:b/>
          <w:bCs/>
          <w:color w:val="FF0000"/>
        </w:rPr>
      </w:pPr>
      <w:r w:rsidRPr="00FE4C69">
        <w:rPr>
          <w:b/>
          <w:bCs/>
          <w:noProof/>
          <w:lang w:eastAsia="lt-LT"/>
        </w:rPr>
        <w:drawing>
          <wp:inline distT="0" distB="0" distL="0" distR="0" wp14:anchorId="2CF2B439" wp14:editId="3530A9DA">
            <wp:extent cx="2358796" cy="561975"/>
            <wp:effectExtent l="0" t="0" r="381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t="15760" b="12587"/>
                    <a:stretch/>
                  </pic:blipFill>
                  <pic:spPr bwMode="auto">
                    <a:xfrm>
                      <a:off x="0" y="0"/>
                      <a:ext cx="2389488" cy="569287"/>
                    </a:xfrm>
                    <a:prstGeom prst="rect">
                      <a:avLst/>
                    </a:prstGeom>
                    <a:noFill/>
                    <a:ln>
                      <a:noFill/>
                    </a:ln>
                    <a:extLst>
                      <a:ext uri="{53640926-AAD7-44D8-BBD7-CCE9431645EC}">
                        <a14:shadowObscured xmlns:a14="http://schemas.microsoft.com/office/drawing/2010/main"/>
                      </a:ext>
                    </a:extLst>
                  </pic:spPr>
                </pic:pic>
              </a:graphicData>
            </a:graphic>
          </wp:inline>
        </w:drawing>
      </w:r>
      <w:r w:rsidR="00244EB9">
        <w:rPr>
          <w:noProof/>
          <w:lang w:eastAsia="lt-LT"/>
        </w:rPr>
        <w:drawing>
          <wp:inline distT="0" distB="0" distL="0" distR="0" wp14:anchorId="008468FF" wp14:editId="15642FDB">
            <wp:extent cx="1749561" cy="49212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5362" cy="502195"/>
                    </a:xfrm>
                    <a:prstGeom prst="rect">
                      <a:avLst/>
                    </a:prstGeom>
                    <a:noFill/>
                  </pic:spPr>
                </pic:pic>
              </a:graphicData>
            </a:graphic>
          </wp:inline>
        </w:drawing>
      </w:r>
      <w:r w:rsidR="00244EB9">
        <w:t xml:space="preserve">    </w:t>
      </w:r>
      <w:r>
        <w:t xml:space="preserve">       </w:t>
      </w:r>
      <w:r w:rsidR="008C57E1" w:rsidRPr="008C57E1">
        <w:rPr>
          <w:noProof/>
          <w:lang w:eastAsia="lt-LT"/>
        </w:rPr>
        <w:drawing>
          <wp:inline distT="0" distB="0" distL="0" distR="0" wp14:anchorId="252D49B5" wp14:editId="775B253F">
            <wp:extent cx="713293" cy="504000"/>
            <wp:effectExtent l="0" t="0" r="0" b="0"/>
            <wp:docPr id="3" name="Paveikslėlis 3" descr="C:\Users\Robotai\Desktop\d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otai\Desktop\dv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293" cy="504000"/>
                    </a:xfrm>
                    <a:prstGeom prst="rect">
                      <a:avLst/>
                    </a:prstGeom>
                    <a:noFill/>
                    <a:ln>
                      <a:noFill/>
                    </a:ln>
                  </pic:spPr>
                </pic:pic>
              </a:graphicData>
            </a:graphic>
          </wp:inline>
        </w:drawing>
      </w:r>
      <w:bookmarkStart w:id="0" w:name="_GoBack"/>
      <w:bookmarkEnd w:id="0"/>
    </w:p>
    <w:sectPr w:rsidR="00244EB9" w:rsidRPr="00BD245A" w:rsidSect="00DA25F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15FD8" w14:textId="77777777" w:rsidR="009A0C4D" w:rsidRDefault="009A0C4D" w:rsidP="00FE4C69">
      <w:pPr>
        <w:spacing w:after="0" w:line="240" w:lineRule="auto"/>
      </w:pPr>
      <w:r>
        <w:separator/>
      </w:r>
    </w:p>
  </w:endnote>
  <w:endnote w:type="continuationSeparator" w:id="0">
    <w:p w14:paraId="4C9B371D" w14:textId="77777777" w:rsidR="009A0C4D" w:rsidRDefault="009A0C4D" w:rsidP="00FE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84E91" w14:textId="77777777" w:rsidR="009A0C4D" w:rsidRDefault="009A0C4D" w:rsidP="00FE4C69">
      <w:pPr>
        <w:spacing w:after="0" w:line="240" w:lineRule="auto"/>
      </w:pPr>
      <w:r>
        <w:separator/>
      </w:r>
    </w:p>
  </w:footnote>
  <w:footnote w:type="continuationSeparator" w:id="0">
    <w:p w14:paraId="341B2346" w14:textId="77777777" w:rsidR="009A0C4D" w:rsidRDefault="009A0C4D" w:rsidP="00FE4C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C5"/>
    <w:rsid w:val="00114B3C"/>
    <w:rsid w:val="00244EB9"/>
    <w:rsid w:val="002724E6"/>
    <w:rsid w:val="00316CE7"/>
    <w:rsid w:val="00425183"/>
    <w:rsid w:val="004E47BD"/>
    <w:rsid w:val="005E15B8"/>
    <w:rsid w:val="008C57E1"/>
    <w:rsid w:val="009A0C4D"/>
    <w:rsid w:val="00BD245A"/>
    <w:rsid w:val="00C2348E"/>
    <w:rsid w:val="00D943C0"/>
    <w:rsid w:val="00DA25F5"/>
    <w:rsid w:val="00DA50C5"/>
    <w:rsid w:val="00DD0CD8"/>
    <w:rsid w:val="00E847D4"/>
    <w:rsid w:val="00FE4C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D38B"/>
  <w15:chartTrackingRefBased/>
  <w15:docId w15:val="{3A25C430-FF6F-4F5F-A9F2-9A1594BF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847D4"/>
    <w:pPr>
      <w:spacing w:before="100" w:beforeAutospacing="1" w:after="100" w:afterAutospacing="1" w:line="240" w:lineRule="auto"/>
    </w:pPr>
    <w:rPr>
      <w:rFonts w:eastAsia="Times New Roman"/>
      <w:kern w:val="0"/>
      <w:lang w:eastAsia="lt-LT"/>
      <w14:ligatures w14:val="none"/>
    </w:rPr>
  </w:style>
  <w:style w:type="character" w:styleId="Hipersaitas">
    <w:name w:val="Hyperlink"/>
    <w:basedOn w:val="Numatytasispastraiposriftas"/>
    <w:uiPriority w:val="99"/>
    <w:unhideWhenUsed/>
    <w:rsid w:val="00244EB9"/>
    <w:rPr>
      <w:color w:val="0563C1" w:themeColor="hyperlink"/>
      <w:u w:val="single"/>
    </w:rPr>
  </w:style>
  <w:style w:type="character" w:customStyle="1" w:styleId="UnresolvedMention">
    <w:name w:val="Unresolved Mention"/>
    <w:basedOn w:val="Numatytasispastraiposriftas"/>
    <w:uiPriority w:val="99"/>
    <w:semiHidden/>
    <w:unhideWhenUsed/>
    <w:rsid w:val="00244EB9"/>
    <w:rPr>
      <w:color w:val="605E5C"/>
      <w:shd w:val="clear" w:color="auto" w:fill="E1DFDD"/>
    </w:rPr>
  </w:style>
  <w:style w:type="character" w:styleId="Perirtashipersaitas">
    <w:name w:val="FollowedHyperlink"/>
    <w:basedOn w:val="Numatytasispastraiposriftas"/>
    <w:uiPriority w:val="99"/>
    <w:semiHidden/>
    <w:unhideWhenUsed/>
    <w:rsid w:val="00244EB9"/>
    <w:rPr>
      <w:color w:val="954F72" w:themeColor="followedHyperlink"/>
      <w:u w:val="single"/>
    </w:rPr>
  </w:style>
  <w:style w:type="paragraph" w:styleId="Antrats">
    <w:name w:val="header"/>
    <w:basedOn w:val="prastasis"/>
    <w:link w:val="AntratsDiagrama"/>
    <w:uiPriority w:val="99"/>
    <w:unhideWhenUsed/>
    <w:rsid w:val="00FE4C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C69"/>
  </w:style>
  <w:style w:type="paragraph" w:styleId="Porat">
    <w:name w:val="footer"/>
    <w:basedOn w:val="prastasis"/>
    <w:link w:val="PoratDiagrama"/>
    <w:uiPriority w:val="99"/>
    <w:unhideWhenUsed/>
    <w:rsid w:val="00FE4C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lt/veiklos-sritys/atsiskaitymas-negrynaisiais-mokyklu-valgyklose/10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186E-4B90-43AE-B0D6-232A59EA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1782</Words>
  <Characters>1016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Dzienajavičienė</dc:creator>
  <cp:keywords/>
  <dc:description/>
  <cp:lastModifiedBy>Robotai</cp:lastModifiedBy>
  <cp:revision>2</cp:revision>
  <dcterms:created xsi:type="dcterms:W3CDTF">2023-05-03T10:33:00Z</dcterms:created>
  <dcterms:modified xsi:type="dcterms:W3CDTF">2023-05-03T10:33:00Z</dcterms:modified>
</cp:coreProperties>
</file>